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FFC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textAlignment w:val="auto"/>
        <w:outlineLvl w:val="0"/>
        <w:rPr>
          <w:rFonts w:hint="default" w:ascii="宋体" w:hAnsi="宋体" w:eastAsia="黑体" w:cs="Times New Roman"/>
          <w:spacing w:val="-6"/>
          <w:sz w:val="32"/>
          <w:szCs w:val="32"/>
        </w:rPr>
      </w:pPr>
      <w:r>
        <w:rPr>
          <w:rFonts w:hint="default" w:ascii="宋体" w:hAnsi="宋体" w:eastAsia="黑体" w:cs="Times New Roman"/>
          <w:spacing w:val="-6"/>
          <w:sz w:val="32"/>
          <w:szCs w:val="32"/>
        </w:rPr>
        <w:t>附件</w:t>
      </w:r>
    </w:p>
    <w:p w14:paraId="256EAA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0" w:firstLineChars="0"/>
        <w:textAlignment w:val="auto"/>
        <w:outlineLvl w:val="0"/>
        <w:rPr>
          <w:rFonts w:hint="default" w:ascii="宋体" w:hAnsi="宋体" w:eastAsia="黑体" w:cs="Times New Roman"/>
          <w:spacing w:val="-6"/>
          <w:sz w:val="32"/>
          <w:szCs w:val="32"/>
        </w:rPr>
      </w:pPr>
    </w:p>
    <w:p w14:paraId="6F983E6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0" w:firstLineChars="0"/>
        <w:jc w:val="center"/>
        <w:textAlignment w:val="auto"/>
        <w:outlineLvl w:val="1"/>
        <w:rPr>
          <w:rFonts w:hint="eastAsia" w:ascii="宋体" w:hAnsi="宋体" w:eastAsia="方正小标宋_GBK" w:cs="方正小标宋_GBK"/>
          <w:spacing w:val="-6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宋体" w:hAnsi="宋体" w:eastAsia="方正小标宋_GBK" w:cs="方正小标宋_GBK"/>
          <w:spacing w:val="-6"/>
          <w:kern w:val="2"/>
          <w:sz w:val="44"/>
          <w:szCs w:val="44"/>
          <w:lang w:val="en-US" w:eastAsia="zh-CN" w:bidi="ar-SA"/>
        </w:rPr>
        <w:t>“人工智能+交通运输”行动方案典型应用场景、高质量数据集清单</w:t>
      </w:r>
    </w:p>
    <w:bookmarkEnd w:id="0"/>
    <w:tbl>
      <w:tblPr>
        <w:tblStyle w:val="8"/>
        <w:tblW w:w="4997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890"/>
        <w:gridCol w:w="1210"/>
        <w:gridCol w:w="1188"/>
        <w:gridCol w:w="1458"/>
        <w:gridCol w:w="142"/>
        <w:gridCol w:w="3704"/>
      </w:tblGrid>
      <w:tr w14:paraId="37FB1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50" w:type="pct"/>
            <w:tcBorders>
              <w:tl2br w:val="nil"/>
              <w:tr2bl w:val="nil"/>
            </w:tcBorders>
            <w:noWrap w:val="0"/>
            <w:vAlign w:val="center"/>
          </w:tcPr>
          <w:p w14:paraId="01529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478" w:type="pct"/>
            <w:tcBorders>
              <w:tl2br w:val="nil"/>
              <w:tr2bl w:val="nil"/>
            </w:tcBorders>
            <w:noWrap w:val="0"/>
            <w:vAlign w:val="center"/>
          </w:tcPr>
          <w:p w14:paraId="3C566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业务</w:t>
            </w:r>
          </w:p>
          <w:p w14:paraId="0E3884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</w:rPr>
              <w:t>领域</w:t>
            </w: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52D620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  <w:lang w:eastAsia="zh-CN"/>
              </w:rPr>
              <w:t>典型应用场景</w:t>
            </w:r>
          </w:p>
        </w:tc>
        <w:tc>
          <w:tcPr>
            <w:tcW w:w="638" w:type="pct"/>
            <w:tcBorders>
              <w:tl2br w:val="nil"/>
              <w:tr2bl w:val="nil"/>
            </w:tcBorders>
            <w:noWrap w:val="0"/>
            <w:vAlign w:val="center"/>
          </w:tcPr>
          <w:p w14:paraId="24EEE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高质量数据集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3470A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</w:rPr>
              <w:t>二级场景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28C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/>
                <w:bCs w:val="0"/>
                <w:color w:val="000000"/>
                <w:kern w:val="0"/>
                <w:sz w:val="22"/>
                <w:szCs w:val="22"/>
              </w:rPr>
              <w:t>场景描述</w:t>
            </w:r>
          </w:p>
        </w:tc>
      </w:tr>
      <w:tr w14:paraId="6E09A4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2" w:hRule="atLeast"/>
          <w:jc w:val="center"/>
        </w:trPr>
        <w:tc>
          <w:tcPr>
            <w:tcW w:w="250" w:type="pct"/>
            <w:tcBorders>
              <w:tl2br w:val="nil"/>
              <w:tr2bl w:val="nil"/>
            </w:tcBorders>
            <w:noWrap w:val="0"/>
            <w:vAlign w:val="center"/>
          </w:tcPr>
          <w:p w14:paraId="1B4C8A68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47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0773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</w:rPr>
              <w:t>人工</w:t>
            </w:r>
          </w:p>
          <w:p w14:paraId="13950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</w:rPr>
              <w:t>智能+公路</w:t>
            </w: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21149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公路智慧</w:t>
            </w:r>
          </w:p>
          <w:p w14:paraId="60BBD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建设</w:t>
            </w:r>
          </w:p>
        </w:tc>
        <w:tc>
          <w:tcPr>
            <w:tcW w:w="638" w:type="pct"/>
            <w:tcBorders>
              <w:tl2br w:val="nil"/>
              <w:tr2bl w:val="nil"/>
            </w:tcBorders>
            <w:noWrap w:val="0"/>
            <w:vAlign w:val="center"/>
          </w:tcPr>
          <w:p w14:paraId="7E2110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建设监管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高质量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5DB1C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公路工程建设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监管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2D6A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围绕高速公路新建、改扩建等场景，鼓励推动数字孪生、智慧工地、人工智能大模型等技术应用，探索实施大数据智慧辅助管理，实现施工进度智能监管、施工现场质量安全智能监测和主动预警，构建事前预判、事中管控、事后溯源的工程智能监管新模式。</w:t>
            </w:r>
          </w:p>
        </w:tc>
      </w:tr>
      <w:tr w14:paraId="6174E6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1" w:hRule="atLeast"/>
          <w:jc w:val="center"/>
        </w:trPr>
        <w:tc>
          <w:tcPr>
            <w:tcW w:w="250" w:type="pct"/>
            <w:tcBorders>
              <w:tl2br w:val="nil"/>
              <w:tr2bl w:val="nil"/>
            </w:tcBorders>
            <w:noWrap w:val="0"/>
            <w:vAlign w:val="center"/>
          </w:tcPr>
          <w:p w14:paraId="4E219164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F09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63D58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公路要素动态感知</w:t>
            </w:r>
          </w:p>
        </w:tc>
        <w:tc>
          <w:tcPr>
            <w:tcW w:w="638" w:type="pct"/>
            <w:tcBorders>
              <w:tl2br w:val="nil"/>
              <w:tr2bl w:val="nil"/>
            </w:tcBorders>
            <w:noWrap w:val="0"/>
            <w:vAlign w:val="center"/>
          </w:tcPr>
          <w:p w14:paraId="358FA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公路要素高质量数据集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121BD3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公路网要素感知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7F7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依托既有感知设施，探索多杆合一、多感合一建设模式，集约化部署高清摄像头等路侧智能感知终端，提升公路全要素感知能力。</w:t>
            </w:r>
          </w:p>
        </w:tc>
      </w:tr>
      <w:tr w14:paraId="70FA62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52" w:hRule="atLeast"/>
          <w:jc w:val="center"/>
        </w:trPr>
        <w:tc>
          <w:tcPr>
            <w:tcW w:w="250" w:type="pct"/>
            <w:tcBorders>
              <w:tl2br w:val="nil"/>
              <w:tr2bl w:val="nil"/>
            </w:tcBorders>
            <w:noWrap w:val="0"/>
            <w:vAlign w:val="center"/>
          </w:tcPr>
          <w:p w14:paraId="50786A1F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057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32C88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公路智慧管控</w:t>
            </w:r>
          </w:p>
        </w:tc>
        <w:tc>
          <w:tcPr>
            <w:tcW w:w="638" w:type="pct"/>
            <w:tcBorders>
              <w:tl2br w:val="nil"/>
              <w:tr2bl w:val="nil"/>
            </w:tcBorders>
            <w:noWrap w:val="0"/>
            <w:vAlign w:val="center"/>
          </w:tcPr>
          <w:p w14:paraId="001AE6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公路交通流预测与拥堵主动管控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高质量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6B9087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公路网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运行监测与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态势预测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54A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围绕鄂西山区长下坡、隧道群复杂路段，鼓励通过“视频+雷达+光纤光栅”多源融合感知技术，加强对重点路段夜间、恶劣天气等异常状态下的路网运行监测。开展交通流态势智能推演与分析，研判车流变化规律、拥堵成因及运行趋势，提升路网通行管控、智能调度能力。</w:t>
            </w:r>
          </w:p>
        </w:tc>
      </w:tr>
      <w:tr w14:paraId="06829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5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7B1B5ED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011C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F85E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公路智慧养护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5D2B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公路养护决策高质量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30E6E6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公路养护电子档案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34F7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围绕日常巡检、结构健康监测、预防性养护等场景，鼓励构建公路养护高质量数据集，健全公路全要素健康档案。</w:t>
            </w:r>
          </w:p>
        </w:tc>
      </w:tr>
      <w:tr w14:paraId="28532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B1CDE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BC6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26D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941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25451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养护决策</w:t>
            </w:r>
          </w:p>
          <w:p w14:paraId="409FC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支持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0D36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推动养护决策智能体研发，自动生成最优养护策略，提升公路养护精准度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  <w:t>。</w:t>
            </w:r>
          </w:p>
        </w:tc>
      </w:tr>
      <w:tr w14:paraId="4CB12C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4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397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BBF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C41E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FEB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750B1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桥梁隧道健康监测</w:t>
            </w:r>
          </w:p>
        </w:tc>
        <w:tc>
          <w:tcPr>
            <w:tcW w:w="2065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126F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推广集约式桥群健康监测系统，探索中小跨径桥梁群光纤光栅智能监测，实现对长大桥梁、特殊桥梁结构病害的实时监测、精准识别与智能诊断。</w:t>
            </w:r>
          </w:p>
        </w:tc>
      </w:tr>
      <w:tr w14:paraId="72552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1D0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23B7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C0C6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595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769C3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光纤光栅智能监测</w:t>
            </w:r>
          </w:p>
        </w:tc>
        <w:tc>
          <w:tcPr>
            <w:tcW w:w="2065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D38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1EA12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7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3153C2E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47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F552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</w:rPr>
              <w:t>人工</w:t>
            </w:r>
          </w:p>
          <w:p w14:paraId="09114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</w:rPr>
              <w:t>智能+公路</w:t>
            </w: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EB7C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/>
              </w:rPr>
              <w:t>无感通行与车辆</w:t>
            </w:r>
          </w:p>
          <w:p w14:paraId="0A825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/>
              </w:rPr>
              <w:t>识别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03AF3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收费站交通流高质量数据集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026FB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“手机+”无卡通行</w:t>
            </w:r>
          </w:p>
        </w:tc>
        <w:tc>
          <w:tcPr>
            <w:tcW w:w="2065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354D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推广应用“手机+”无卡便捷通行、站前预交易等模式，提升收费站点通行效率，优化服务体验。</w:t>
            </w:r>
          </w:p>
        </w:tc>
      </w:tr>
      <w:tr w14:paraId="1F2F7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9D10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595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6C6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79CD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0DBF3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站前预</w:t>
            </w:r>
          </w:p>
          <w:p w14:paraId="35704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交易</w:t>
            </w:r>
          </w:p>
        </w:tc>
        <w:tc>
          <w:tcPr>
            <w:tcW w:w="2065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AB53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4D173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0E67B2E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EA6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271B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公路收费稽核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1F56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公路智能收费高质量数据集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0931CC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收费稽核</w:t>
            </w:r>
          </w:p>
        </w:tc>
        <w:tc>
          <w:tcPr>
            <w:tcW w:w="2065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E46D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鼓励通过AI稽核技术，结合逃费特征库与车辆画像库，实现逃费车辆轨迹智能还原、特征提取、风险评估和稽核报告自动生成。</w:t>
            </w:r>
          </w:p>
        </w:tc>
      </w:tr>
      <w:tr w14:paraId="6D0DFA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EB13D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4CF9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190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F19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150559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稽核数据价值挖掘</w:t>
            </w:r>
          </w:p>
        </w:tc>
        <w:tc>
          <w:tcPr>
            <w:tcW w:w="2065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BB43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06485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0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11FA3A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47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163D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Theme="minorEastAsia" w:cstheme="minorEastAsia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sz w:val="22"/>
                <w:szCs w:val="22"/>
              </w:rPr>
              <w:t>人工</w:t>
            </w:r>
          </w:p>
          <w:p w14:paraId="40AA78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sz w:val="22"/>
                <w:szCs w:val="22"/>
              </w:rPr>
              <w:t>智能+港航</w:t>
            </w: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7D34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智慧航道建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  <w:t>养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A066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航道基础设施高质量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02CEB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航道状态智能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感知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监测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364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  <w:t>依托汉江兴隆至蔡甸段航道整治工程，推进汉江航道综合立体智能感知网建设。</w:t>
            </w:r>
          </w:p>
        </w:tc>
      </w:tr>
      <w:tr w14:paraId="0F88D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5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5EE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ABE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E7BD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FE32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7C105D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电子航道“一张图”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8B17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拓展汉江高等级航道电子航道“一张图”，实现航道养护尺度信息动态发布和船舶导助航信息服务。</w:t>
            </w:r>
          </w:p>
        </w:tc>
      </w:tr>
      <w:tr w14:paraId="797CA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atLeast"/>
          <w:jc w:val="center"/>
        </w:trPr>
        <w:tc>
          <w:tcPr>
            <w:tcW w:w="250" w:type="pct"/>
            <w:tcBorders>
              <w:tl2br w:val="nil"/>
              <w:tr2bl w:val="nil"/>
            </w:tcBorders>
            <w:noWrap w:val="0"/>
            <w:vAlign w:val="center"/>
          </w:tcPr>
          <w:p w14:paraId="39D45ECA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215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F756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tcBorders>
              <w:tl2br w:val="nil"/>
              <w:tr2bl w:val="nil"/>
            </w:tcBorders>
            <w:noWrap w:val="0"/>
            <w:vAlign w:val="center"/>
          </w:tcPr>
          <w:p w14:paraId="0FB525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  <w:t>航道智能监测高质量数据集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1720F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航道智能</w:t>
            </w:r>
          </w:p>
          <w:p w14:paraId="507A6A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监测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0F7E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推动航道、水文、气象等多源数据融合应用，实现航道智能监测预警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  <w:t>。</w:t>
            </w:r>
          </w:p>
        </w:tc>
      </w:tr>
      <w:tr w14:paraId="56AEB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6" w:hRule="atLeast"/>
          <w:jc w:val="center"/>
        </w:trPr>
        <w:tc>
          <w:tcPr>
            <w:tcW w:w="250" w:type="pct"/>
            <w:tcBorders>
              <w:tl2br w:val="nil"/>
              <w:tr2bl w:val="nil"/>
            </w:tcBorders>
            <w:noWrap w:val="0"/>
            <w:vAlign w:val="center"/>
          </w:tcPr>
          <w:p w14:paraId="0168CEA5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0F2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849A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tcBorders>
              <w:tl2br w:val="nil"/>
              <w:tr2bl w:val="nil"/>
            </w:tcBorders>
            <w:noWrap w:val="0"/>
            <w:vAlign w:val="center"/>
          </w:tcPr>
          <w:p w14:paraId="6CC8E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航道设施智能养护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高质量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4F16C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航道智慧</w:t>
            </w:r>
          </w:p>
          <w:p w14:paraId="401B3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养护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1B53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推进无人机在航道巡查、航标巡检场景应用，提升养护巡查效率。</w:t>
            </w:r>
          </w:p>
        </w:tc>
      </w:tr>
      <w:tr w14:paraId="31424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9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DEC3F1D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85E1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A43E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智慧船闸建设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与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船闸联合</w:t>
            </w:r>
          </w:p>
          <w:p w14:paraId="283DE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调度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F44D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智慧船闸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高质量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/>
              </w:rPr>
              <w:t>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6C8546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船闸智能感知监测</w:t>
            </w:r>
          </w:p>
        </w:tc>
        <w:tc>
          <w:tcPr>
            <w:tcW w:w="2065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FB20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鼓励面向碾盘山、雅口、崔家营、兴隆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  <w:t>等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船闸，通过计算机视觉、图像识别等技术，开展船闸外场智能感知、船舶超高智能检测、吃水超限智能识别等，联动船闸启闭控制、航道通航管制系统，实现船闸智能监管。</w:t>
            </w:r>
          </w:p>
        </w:tc>
      </w:tr>
      <w:tr w14:paraId="591C3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111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EEB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866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C8E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2D355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船闸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运行状态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监测</w:t>
            </w:r>
          </w:p>
        </w:tc>
        <w:tc>
          <w:tcPr>
            <w:tcW w:w="2065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9169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00B653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2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1BC0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2A3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1E8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EABF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6E6BDD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船闸智能联合调度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870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围绕船闸协同调度、过闸服务等业务场景，依托船闸联合调度系统，支持开展远程线上申报、智能优化排档、全域导助航，打造智慧船闸调度一张图，实时展示各船闸运行状态、待泊船舶数量、排档计划、告警隐患，实现全局可视化和一键调度。</w:t>
            </w:r>
          </w:p>
        </w:tc>
      </w:tr>
      <w:tr w14:paraId="293000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2344D7B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47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72A4D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Theme="minorEastAsia" w:cstheme="minorEastAsia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sz w:val="22"/>
                <w:szCs w:val="22"/>
              </w:rPr>
              <w:t>人工</w:t>
            </w:r>
          </w:p>
          <w:p w14:paraId="1B573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sz w:val="22"/>
                <w:szCs w:val="22"/>
              </w:rPr>
              <w:t>智能+港航</w:t>
            </w: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335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智慧港口建设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72E2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港口作业资源智能优化高质量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7AD131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集装箱码头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路径规划</w:t>
            </w:r>
          </w:p>
        </w:tc>
        <w:tc>
          <w:tcPr>
            <w:tcW w:w="2065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F581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以武汉阳逻港为试点，鼓励研发集装箱码头复杂混合交通流水平运输、高并发调度与最优路径规划算法，鼓励研发港航一体化智能调度系统，实现堆场、码头、锚地之间作业计划的协同调度。</w:t>
            </w:r>
          </w:p>
        </w:tc>
      </w:tr>
      <w:tr w14:paraId="5FC2E8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D13C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F41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400E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5AF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3CDC0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锚地联合</w:t>
            </w:r>
          </w:p>
          <w:p w14:paraId="2173DC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调度</w:t>
            </w:r>
          </w:p>
        </w:tc>
        <w:tc>
          <w:tcPr>
            <w:tcW w:w="2065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E78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7E510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79A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27D4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B4E2B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C2BE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45718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散杂货码头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作业流程</w:t>
            </w:r>
          </w:p>
          <w:p w14:paraId="1E9943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spacing w:val="-6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优化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4BC14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spacing w:val="-6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以荆州车阳河港为试点，支持开展散杂货码头自动化改造和智能化升级，提升港口作业效率。</w:t>
            </w:r>
          </w:p>
        </w:tc>
      </w:tr>
      <w:tr w14:paraId="795946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7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C37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FD7F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29C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716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58EFD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港口数字</w:t>
            </w:r>
          </w:p>
          <w:p w14:paraId="1CAEC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孪生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88B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鼓励研发“港口数字孪生+AI辅助决策”等智能体。</w:t>
            </w:r>
          </w:p>
        </w:tc>
      </w:tr>
      <w:tr w14:paraId="7716F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8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B5D1CAF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72A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AF78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船岸云</w:t>
            </w:r>
          </w:p>
          <w:p w14:paraId="6A1F92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协同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DCE36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船岸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云协同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高质量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40B56F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智能航行</w:t>
            </w:r>
          </w:p>
        </w:tc>
        <w:tc>
          <w:tcPr>
            <w:tcW w:w="2065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9B37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整合AIS、视频监控、水文气象、船舶状态等多模态资源，鼓励开展船舶运行状态、航道通行条件、环境安全风险等动态监测与智能分析研判，实现风险识别、隐患预警、协同联动的船岸协同模式。探索智能船舶自主航行系统在航道巡查中的应用，验证船岸云协同系统在航线规划、航速优化及异常处理中的实际效能。</w:t>
            </w:r>
          </w:p>
        </w:tc>
      </w:tr>
      <w:tr w14:paraId="000BA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9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5AE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B488F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736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FB1C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227797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  <w:t>船岸云</w:t>
            </w:r>
          </w:p>
          <w:p w14:paraId="4A80C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  <w:t>协同</w:t>
            </w:r>
          </w:p>
        </w:tc>
        <w:tc>
          <w:tcPr>
            <w:tcW w:w="2065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612B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3A203B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1" w:hRule="atLeast"/>
          <w:jc w:val="center"/>
        </w:trPr>
        <w:tc>
          <w:tcPr>
            <w:tcW w:w="250" w:type="pct"/>
            <w:tcBorders>
              <w:tl2br w:val="nil"/>
              <w:tr2bl w:val="nil"/>
            </w:tcBorders>
            <w:noWrap w:val="0"/>
            <w:vAlign w:val="center"/>
          </w:tcPr>
          <w:p w14:paraId="246B0721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47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44E8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人工</w:t>
            </w:r>
          </w:p>
          <w:p w14:paraId="7F845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智能</w:t>
            </w: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+物流</w:t>
            </w: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782B4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多式联运</w:t>
            </w:r>
          </w:p>
        </w:tc>
        <w:tc>
          <w:tcPr>
            <w:tcW w:w="638" w:type="pct"/>
            <w:tcBorders>
              <w:tl2br w:val="nil"/>
              <w:tr2bl w:val="nil"/>
            </w:tcBorders>
            <w:noWrap w:val="0"/>
            <w:vAlign w:val="center"/>
          </w:tcPr>
          <w:p w14:paraId="3E075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多式联运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电子化运单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高质量数据集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4416E5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多式联运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DE5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支持构建“铁水公空”多式联运全程电子化运单系统，推动多式联运“一单制”“一箱制”服务，支持打造多式联运智能体。鼓励建立基于区块链的联运数据共享与可信互操作机制，保障运输环节多方协作可信可溯。</w:t>
            </w:r>
          </w:p>
        </w:tc>
      </w:tr>
      <w:tr w14:paraId="083D77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50A9EE2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E7E4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6419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大宗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货运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C0FDE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货运运行监测和市场分析高质量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数</w:t>
            </w:r>
          </w:p>
          <w:p w14:paraId="440C65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42A27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供需智能</w:t>
            </w:r>
          </w:p>
          <w:p w14:paraId="79D1B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匹配</w:t>
            </w:r>
          </w:p>
        </w:tc>
        <w:tc>
          <w:tcPr>
            <w:tcW w:w="2065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D6C8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围绕大宗货物、冷链、危险品运输等场景，鼓励开展采购智能寻源、价格智能预测、供需智能匹配、物流路径智能优化、供应链风险智能预警建设。支持打造货运AI智能体，提升智能调度、仓储协同、异常预警能力；鼓励在高速公路、物流骨干通道探索智能驾驶货车编队行驶，降低物流成本。</w:t>
            </w:r>
          </w:p>
        </w:tc>
      </w:tr>
      <w:tr w14:paraId="5187E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652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E17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1C4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519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203FB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物流路径</w:t>
            </w:r>
          </w:p>
          <w:p w14:paraId="0BA6D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优化</w:t>
            </w:r>
          </w:p>
        </w:tc>
        <w:tc>
          <w:tcPr>
            <w:tcW w:w="2065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7D4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63C8B4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6F0C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3AE5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C8E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01FE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7B5EBA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货车编队</w:t>
            </w:r>
          </w:p>
          <w:p w14:paraId="624F2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行驶</w:t>
            </w:r>
          </w:p>
        </w:tc>
        <w:tc>
          <w:tcPr>
            <w:tcW w:w="2065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B83D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400EA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7" w:hRule="atLeast"/>
          <w:jc w:val="center"/>
        </w:trPr>
        <w:tc>
          <w:tcPr>
            <w:tcW w:w="250" w:type="pct"/>
            <w:tcBorders>
              <w:tl2br w:val="nil"/>
              <w:tr2bl w:val="nil"/>
            </w:tcBorders>
            <w:noWrap w:val="0"/>
            <w:vAlign w:val="center"/>
          </w:tcPr>
          <w:p w14:paraId="3052F857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47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9B6A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人工</w:t>
            </w:r>
          </w:p>
          <w:p w14:paraId="1C1D8C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lang w:eastAsia="zh-CN"/>
              </w:rPr>
              <w:t>智能</w:t>
            </w: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  <w:lang w:val="en-US" w:eastAsia="zh-CN"/>
              </w:rPr>
              <w:t>+物流</w:t>
            </w:r>
          </w:p>
        </w:tc>
        <w:tc>
          <w:tcPr>
            <w:tcW w:w="650" w:type="pct"/>
            <w:tcBorders>
              <w:tl2br w:val="nil"/>
              <w:tr2bl w:val="nil"/>
            </w:tcBorders>
            <w:noWrap w:val="0"/>
            <w:vAlign w:val="center"/>
          </w:tcPr>
          <w:p w14:paraId="49DBB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物流站场智慧化</w:t>
            </w:r>
          </w:p>
          <w:p w14:paraId="6E0BF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升级</w:t>
            </w:r>
          </w:p>
        </w:tc>
        <w:tc>
          <w:tcPr>
            <w:tcW w:w="638" w:type="pct"/>
            <w:tcBorders>
              <w:tl2br w:val="nil"/>
              <w:tr2bl w:val="nil"/>
            </w:tcBorders>
            <w:noWrap w:val="0"/>
            <w:vAlign w:val="center"/>
          </w:tcPr>
          <w:p w14:paraId="11106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/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36F8B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仓储与装卸智能化改造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2888C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聚焦物流园区、货运枢纽、港口场站等核心节点，鼓励推广自动化立体仓库、智能分拣系统，实现货物入库、存储、分拣、出库全流程自动化作业。鼓励引入智能装卸设备，对接多式联运智能调度系统，实现货物“车—库—船/机”无缝衔接。</w:t>
            </w:r>
          </w:p>
        </w:tc>
      </w:tr>
      <w:tr w14:paraId="1D9C4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6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A5A75F7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87E2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D225E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物流配送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67CEF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物流配送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高质量数据集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47FA30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无人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配送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7EFB6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围绕无人配送、末端配送等场景，探索无人快递车、无人机物流配送，通过整合快递与农村客运线路数据，实现无人车与客货邮协同调度。</w:t>
            </w:r>
          </w:p>
        </w:tc>
      </w:tr>
      <w:tr w14:paraId="335B1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078E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915E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5FD94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3EB5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3EF35E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物流园区短途配送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0A8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鼓励物流园区开展自动驾驶货车场内转运、短途配送应用示范，提升末端配送效率。</w:t>
            </w:r>
          </w:p>
        </w:tc>
      </w:tr>
      <w:tr w14:paraId="6B862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5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D53AA5D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47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149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</w:rPr>
              <w:t>人工</w:t>
            </w:r>
          </w:p>
          <w:p w14:paraId="254ACA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</w:rPr>
              <w:t>智能+出行</w:t>
            </w: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ED0B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kern w:val="0"/>
                <w:sz w:val="22"/>
                <w:szCs w:val="22"/>
                <w:lang w:val="en-US" w:eastAsia="zh-CN" w:bidi="ar-SA"/>
              </w:rPr>
              <w:t>智慧出行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9E6C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出行信息服务高质量数据集</w:t>
            </w: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10CB32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出行数据规律挖掘</w:t>
            </w:r>
          </w:p>
        </w:tc>
        <w:tc>
          <w:tcPr>
            <w:tcW w:w="2065" w:type="pct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1AE2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鼓励推动整合全省公路路况、服务区、阳光救援等多源数据，探索应用大数据分析与智能算法，开展公众出行需求自动匹配、线路智能优化、票务预订等一站式服务。推动建设特色出行品牌，打造全省统一智慧出行服务平台，提升公众出行便捷度、舒适度。</w:t>
            </w:r>
          </w:p>
        </w:tc>
      </w:tr>
      <w:tr w14:paraId="18502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2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E5B5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143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94D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B77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06EF6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线路智能</w:t>
            </w:r>
          </w:p>
          <w:p w14:paraId="2E312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优化</w:t>
            </w:r>
          </w:p>
        </w:tc>
        <w:tc>
          <w:tcPr>
            <w:tcW w:w="2065" w:type="pct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DAE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6BD6D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0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48B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EC5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F0E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92DCF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6F712C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交能融合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E24F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  <w:t>探索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采用人工智能技术实施“车—站—电网”协同、动态能源网络规划，保障绿色能源智能补给。</w:t>
            </w:r>
          </w:p>
        </w:tc>
      </w:tr>
      <w:tr w14:paraId="44A30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6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5A9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1BF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0616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AB5C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7A9F96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“一码通行”服务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9C92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围绕公交、地铁、轮渡等出行方式，鼓励研发出行智能体，打造“一码通行”服务，实现出行信息精准服务推送、无感支付，提升公众出行体验。</w:t>
            </w:r>
          </w:p>
        </w:tc>
      </w:tr>
      <w:tr w14:paraId="405500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6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31B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BD9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A99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CC94B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783" w:type="pct"/>
            <w:tcBorders>
              <w:tl2br w:val="nil"/>
              <w:tr2bl w:val="nil"/>
            </w:tcBorders>
            <w:noWrap w:val="0"/>
            <w:vAlign w:val="center"/>
          </w:tcPr>
          <w:p w14:paraId="00046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交旅融合</w:t>
            </w:r>
          </w:p>
        </w:tc>
        <w:tc>
          <w:tcPr>
            <w:tcW w:w="2065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BAFB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强化干线公路与流量集中、拥堵突出的重点旅游公路衔接，鼓励推动“交通廊道+旅游景区”一体化建设，精准优化旅游交通服务供给。</w:t>
            </w:r>
          </w:p>
        </w:tc>
      </w:tr>
      <w:tr w14:paraId="71D6F4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5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A903EDA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47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AACD1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b w:val="0"/>
                <w:bCs w:val="0"/>
                <w:color w:val="000000"/>
                <w:kern w:val="0"/>
                <w:sz w:val="22"/>
                <w:szCs w:val="22"/>
              </w:rPr>
              <w:t>人工智能+行业监管</w:t>
            </w: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9744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spacing w:val="-6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EastAsia"/>
                <w:kern w:val="0"/>
                <w:sz w:val="22"/>
                <w:szCs w:val="22"/>
                <w:lang w:val="en-US" w:eastAsia="zh-CN" w:bidi="ar-SA"/>
              </w:rPr>
              <w:t>交通突发事件应急处置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C68D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spacing w:val="-6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交通突发事件应急指挥调度高质量数据集</w:t>
            </w:r>
          </w:p>
        </w:tc>
        <w:tc>
          <w:tcPr>
            <w:tcW w:w="85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241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突发事件监测预警</w:t>
            </w:r>
          </w:p>
        </w:tc>
        <w:tc>
          <w:tcPr>
            <w:tcW w:w="198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2265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构建基于多源感知数据与人工智能的交通突发事件预警系统，实现对边坡塌方、路面损毁、团雾结冰、水上危险品泄漏、船舶碰撞等风险隐患自动辨识、动态评估和预警预报。鼓励开发应急救援智能体，依托大模型快速生成应急处置方案和决策推演，优化应急资源调配。</w:t>
            </w:r>
          </w:p>
        </w:tc>
      </w:tr>
      <w:tr w14:paraId="14458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AA37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DA97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AC3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7174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85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5444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应急处置和决策推演</w:t>
            </w:r>
          </w:p>
        </w:tc>
        <w:tc>
          <w:tcPr>
            <w:tcW w:w="198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AA1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3DD156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8BA2FEF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C55B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B085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安全生产管控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7073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营运车辆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合规运营高质量数据集</w:t>
            </w:r>
          </w:p>
        </w:tc>
        <w:tc>
          <w:tcPr>
            <w:tcW w:w="85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07C4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重点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车辆驾驶行为监测</w:t>
            </w:r>
          </w:p>
        </w:tc>
        <w:tc>
          <w:tcPr>
            <w:tcW w:w="198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501D6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围绕“两客一危一重”、网约车等重点监管对象，整合车载卫星定位、视频监控等数据，实现车辆实时轨迹追踪、许可路线偏离预警、违法超限自动识别。</w:t>
            </w:r>
          </w:p>
        </w:tc>
      </w:tr>
      <w:tr w14:paraId="3B0C0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0AA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2054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DCE2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188C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85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F3AE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超限运输车辆识别与溯源</w:t>
            </w:r>
          </w:p>
        </w:tc>
        <w:tc>
          <w:tcPr>
            <w:tcW w:w="198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9B4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  <w:tr w14:paraId="215F7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5" w:hRule="atLeast"/>
          <w:jc w:val="center"/>
        </w:trPr>
        <w:tc>
          <w:tcPr>
            <w:tcW w:w="250" w:type="pct"/>
            <w:tcBorders>
              <w:tl2br w:val="nil"/>
              <w:tr2bl w:val="nil"/>
            </w:tcBorders>
            <w:noWrap w:val="0"/>
            <w:vAlign w:val="center"/>
          </w:tcPr>
          <w:p w14:paraId="5FDFCF13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89B3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882F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tcBorders>
              <w:tl2br w:val="nil"/>
              <w:tr2bl w:val="nil"/>
            </w:tcBorders>
            <w:noWrap w:val="0"/>
            <w:vAlign w:val="center"/>
          </w:tcPr>
          <w:p w14:paraId="049E5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安全生产高质量数据集</w:t>
            </w:r>
          </w:p>
        </w:tc>
        <w:tc>
          <w:tcPr>
            <w:tcW w:w="85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D40A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安全生产动态感知</w:t>
            </w:r>
          </w:p>
        </w:tc>
        <w:tc>
          <w:tcPr>
            <w:tcW w:w="1989" w:type="pct"/>
            <w:tcBorders>
              <w:tl2br w:val="nil"/>
              <w:tr2bl w:val="nil"/>
            </w:tcBorders>
            <w:noWrap w:val="0"/>
            <w:vAlign w:val="center"/>
          </w:tcPr>
          <w:p w14:paraId="326EF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鼓励构建可感知、可视频、可调度、可反馈的安全监管平台，加强系统联动，形成部、省、市、县和企业五级动态监测预警协同贯通体系。</w:t>
            </w:r>
          </w:p>
        </w:tc>
      </w:tr>
      <w:tr w14:paraId="5DE13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" w:hRule="atLeast"/>
          <w:jc w:val="center"/>
        </w:trPr>
        <w:tc>
          <w:tcPr>
            <w:tcW w:w="2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58D4C10">
            <w:pPr>
              <w:keepNext w:val="0"/>
              <w:keepLines w:val="0"/>
              <w:pageBreakBefore w:val="0"/>
              <w:widowControl/>
              <w:numPr>
                <w:ilvl w:val="-1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7EA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A79B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数智一体化执法</w:t>
            </w:r>
          </w:p>
          <w:p w14:paraId="26C76E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体系</w:t>
            </w:r>
          </w:p>
        </w:tc>
        <w:tc>
          <w:tcPr>
            <w:tcW w:w="638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D8A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综合行政执法高质量数据集</w:t>
            </w:r>
          </w:p>
        </w:tc>
        <w:tc>
          <w:tcPr>
            <w:tcW w:w="85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7E8E3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智能辅助办案</w:t>
            </w:r>
          </w:p>
        </w:tc>
        <w:tc>
          <w:tcPr>
            <w:tcW w:w="1989" w:type="pct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36A6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汇聚整合从业人员、营运车船、经营业户、道路监控等交通运输执法基础数据，精准挖掘违法线索，自动固定电子证据链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eastAsia="zh-CN"/>
              </w:rPr>
              <w:t>。</w:t>
            </w: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  <w:t>深度融合人工智能技术，实现智能辅助办案、案件智能评查及信用修复等，重塑执法业务流程，构建智慧办案新模式。</w:t>
            </w:r>
          </w:p>
        </w:tc>
      </w:tr>
      <w:tr w14:paraId="68C01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924FF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7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991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50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CAD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38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2E97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859" w:type="pct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7193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  <w:lang w:val="en-US" w:eastAsia="zh-CN"/>
              </w:rPr>
              <w:t>执法数据分析及线索研判</w:t>
            </w:r>
          </w:p>
        </w:tc>
        <w:tc>
          <w:tcPr>
            <w:tcW w:w="1989" w:type="pct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513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Theme="minorEastAsia" w:cstheme="minorEastAsia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7C51C79">
      <w:pPr>
        <w:numPr>
          <w:ilvl w:val="0"/>
          <w:numId w:val="0"/>
        </w:numPr>
        <w:adjustRightInd/>
        <w:snapToGrid/>
        <w:spacing w:line="576" w:lineRule="exact"/>
        <w:ind w:firstLine="608" w:firstLineChars="200"/>
        <w:rPr>
          <w:rFonts w:hint="eastAsia" w:ascii="宋体" w:hAnsi="宋体" w:eastAsiaTheme="minorEastAsia" w:cstheme="minorEastAsia"/>
          <w:spacing w:val="-6"/>
          <w:sz w:val="32"/>
          <w:szCs w:val="32"/>
        </w:rPr>
      </w:pPr>
    </w:p>
    <w:p w14:paraId="09A411F6">
      <w:pPr>
        <w:rPr>
          <w:rFonts w:hint="eastAsia" w:ascii="宋体" w:hAnsi="宋体"/>
        </w:rPr>
      </w:pPr>
    </w:p>
    <w:sectPr>
      <w:headerReference r:id="rId4" w:type="first"/>
      <w:footerReference r:id="rId7" w:type="first"/>
      <w:headerReference r:id="rId3" w:type="default"/>
      <w:footerReference r:id="rId5" w:type="default"/>
      <w:footerReference r:id="rId6" w:type="even"/>
      <w:pgSz w:w="11907" w:h="16840"/>
      <w:pgMar w:top="2098" w:right="1474" w:bottom="1984" w:left="1587" w:header="0" w:footer="1474" w:gutter="0"/>
      <w:pgNumType w:fmt="decimal"/>
      <w:cols w:space="720" w:num="1"/>
      <w:titlePg/>
      <w:rtlGutter w:val="0"/>
      <w:docGrid w:type="linesAndChars" w:linePitch="579" w:charSpace="-84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3C7F2">
    <w:pPr>
      <w:pStyle w:val="5"/>
      <w:tabs>
        <w:tab w:val="clear" w:pos="8307"/>
      </w:tabs>
      <w:spacing w:line="200" w:lineRule="exact"/>
      <w:ind w:right="320" w:rightChars="100"/>
      <w:jc w:val="right"/>
      <w:rPr>
        <w:rFonts w:hint="eastAsia" w:ascii="宋体" w:eastAsia="宋体"/>
        <w:sz w:val="28"/>
      </w:rPr>
    </w:pPr>
  </w:p>
  <w:p w14:paraId="147ABD9A">
    <w:pPr>
      <w:pStyle w:val="5"/>
      <w:tabs>
        <w:tab w:val="clear" w:pos="8307"/>
      </w:tabs>
      <w:wordWrap w:val="0"/>
      <w:ind w:right="320" w:rightChars="100"/>
      <w:jc w:val="right"/>
      <w:rPr>
        <w:rFonts w:hint="eastAsia" w:ascii="宋体" w:eastAsia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76200">
                        <a:noFill/>
                      </a:ln>
                    </wps:spPr>
                    <wps:txbx>
                      <w:txbxContent>
                        <w:p w14:paraId="173A0E47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9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82e9UNEAAAAF&#10;AQAADwAAAGRycy9kb3ducmV2LnhtbE2PT0vEQAzF74LfYYjgzZ22B6m10z2sqCB4sC7sNduJbXEm&#10;Uzqzf/rtjSLoJeTxwsvv1euzd+pIcxwDG8hXGSjiLtiRewPb98ebElRMyBZdYDKwUIR1c3lRY2XD&#10;id/o2KZeSQjHCg0MKU2V1rEbyGNchYlYvI8we0wi517bGU8S7p0usuxWexxZPgw40Wag7rM9eAO7&#10;YqLnF3eXt+nhaXkN/WbnysWY66s8uweV6Jz+juEbX9ChEaZ9OLCNyhmQIulnileUpcj976KbWv+n&#10;b74AUEsDBBQAAAAIAIdO4kBzP+mR5gEAAMgDAAAOAAAAZHJzL2Uyb0RvYy54bWytU82O0zAQviPx&#10;DtbcabIVWkpUdwVUi5AQIC08gOvYjSX/yXablAeAN+DEhTvP1edg7CRdtFz2wCUZe8bfzPf58/pm&#10;MJocRYjKWQpXixqIsNy1yu4pfPl8+2wFJCZmW6adFRROIsLN5umTde8bsXSd060IBEFsbHpPoUvJ&#10;N1UVeScMiwvnhcWkdMGwhMuwr9rAekQ3ulrW9XXVu9D64LiIEXe3YxImxPAYQCel4mLr+MEIm0bU&#10;IDRLSCl2ykfYlGmlFDx9lDKKRDQFZJrKF5tgvMvfarNmzT4w3yk+jcAeM8IDToYpi00vUFuWGDkE&#10;9Q+UUTy46GRacGeqkUhRBFlc1Q+0ueuYF4ULSh39RfT4/2D5h+OnQFRL4TkQywxe+PnH9/PP3+df&#10;38jLLE/vY4NVdx7r0vDaDWiaeT/iZmY9yGDyH/kQzKO4p4u4YkiE50Or5WpVY4pjbl4gfnV/3IeY&#10;3gpnSA4oBLy9Iio7vo9pLJ1LcjfrbpXW5Qa1JT2FF9dosHLikkJ0bbFJZjFOm6M07IaJ2s61J2SG&#10;DwI7di58BdKjHShYdD8Q/c6i2tk5cxDmYDcHzHI8SCEBGcM3aXTYwQe174rn8rzRvzoknLlQyWOM&#10;vafp8IKLGJMZs4P+Xpeq+we4+Q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zZ71Q0QAAAAUBAAAP&#10;AAAAAAAAAAEAIAAAACIAAABkcnMvZG93bnJldi54bWxQSwECFAAUAAAACACHTuJAcz/pkeYBAADI&#10;AwAADgAAAAAAAAABACAAAAAgAQAAZHJzL2Uyb0RvYy54bWxQSwUGAAAAAAYABgBZAQAAeAUAAAAA&#10;">
              <v:fill on="f" focussize="0,0"/>
              <v:stroke on="f" weight="6pt"/>
              <v:imagedata o:title=""/>
              <o:lock v:ext="edit" aspectratio="f"/>
              <v:textbox inset="0mm,0mm,0mm,0mm" style="mso-fit-shape-to-text:t;">
                <w:txbxContent>
                  <w:p w14:paraId="173A0E47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E12FA">
    <w:pPr>
      <w:pStyle w:val="5"/>
      <w:spacing w:line="200" w:lineRule="exact"/>
      <w:ind w:left="320" w:leftChars="100"/>
      <w:rPr>
        <w:rFonts w:hint="eastAsia" w:ascii="宋体" w:eastAsia="宋体"/>
        <w:sz w:val="28"/>
        <w:lang w:eastAsia="zh-CN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9B01CE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9B01CE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7D3D0">
    <w:pPr>
      <w:pStyle w:val="5"/>
      <w:tabs>
        <w:tab w:val="right" w:pos="8845"/>
        <w:tab w:val="clear" w:pos="4153"/>
        <w:tab w:val="clear" w:pos="8307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4B381A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320" w:leftChars="100" w:right="320" w:rightChars="100"/>
                            <w:textAlignment w:va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4B381A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320" w:leftChars="100" w:right="320" w:rightChars="100"/>
                      <w:textAlignment w:val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07819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66503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1F7E6A7"/>
    <w:rsid w:val="5C795C4A"/>
    <w:rsid w:val="F1F7E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宋体" w:hAnsi="宋体" w:eastAsia="仿宋_GB2312" w:cs="宋体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 w:line="240" w:lineRule="auto"/>
      <w:ind w:left="420" w:leftChars="200"/>
    </w:pPr>
    <w:rPr>
      <w:rFonts w:ascii="Times New Roman" w:cstheme="minorBidi"/>
      <w:szCs w:val="24"/>
      <w:lang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4575</Words>
  <Characters>4626</Characters>
  <Lines>0</Lines>
  <Paragraphs>0</Paragraphs>
  <TotalTime>0</TotalTime>
  <ScaleCrop>false</ScaleCrop>
  <LinksUpToDate>false</LinksUpToDate>
  <CharactersWithSpaces>4657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2026-10-19T15:04:00Z</dcterms:created>
  <dc:creator>jtt80</dc:creator>
  <cp:lastModifiedBy>WPS_1655008794</cp:lastModifiedBy>
  <dcterms:modified xsi:type="dcterms:W3CDTF">2026-10-19T07:48:19Z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eyJoZGlkIjoiZGIxOWRkMjYwNjI0N2NjYWFlNTIyYjAwOGZkMThlM2QiLCJ1c2VySWQiOiIxMzgzMzU1MjA3In0=</vt:lpwstr>
  </property>
  <property fmtid="{D5CDD505-2E9C-101B-9397-08002B2CF9AE}" pid="4" name="ICV">
    <vt:lpwstr>6D8BD63DEC0D4C698F944606527C2492_13</vt:lpwstr>
  </property>
</Properties>
</file>