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55D6">
      <w:pPr>
        <w:rPr>
          <w:rFonts w:hint="default" w:ascii="宋体" w:hAnsi="宋体" w:eastAsia="仿宋_GB2312"/>
          <w:color w:val="000000"/>
          <w:lang w:val="en-US" w:eastAsia="zh-CN"/>
        </w:rPr>
      </w:pPr>
      <w:r>
        <w:rPr>
          <w:rFonts w:hint="eastAsia" w:ascii="宋体" w:hAnsi="宋体" w:eastAsia="黑体" w:cs="黑体"/>
          <w:color w:val="000000"/>
          <w:lang w:val="en-US" w:eastAsia="zh-CN"/>
        </w:rPr>
        <w:t>附件</w:t>
      </w:r>
      <w:r>
        <w:rPr>
          <w:rFonts w:hint="eastAsia" w:ascii="宋体" w:hAnsi="宋体"/>
          <w:color w:val="000000"/>
          <w:lang w:val="en-US" w:eastAsia="zh-CN"/>
        </w:rPr>
        <w:t>1</w:t>
      </w:r>
    </w:p>
    <w:p w14:paraId="37457EAF">
      <w:pPr>
        <w:rPr>
          <w:rFonts w:hint="eastAsia" w:ascii="宋体" w:hAnsi="宋体"/>
          <w:color w:val="000000"/>
        </w:rPr>
      </w:pPr>
    </w:p>
    <w:p w14:paraId="5DA0DE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97" w:afterLines="50" w:line="240" w:lineRule="auto"/>
        <w:ind w:left="0" w:leftChars="0" w:firstLine="0" w:firstLineChars="0"/>
        <w:jc w:val="center"/>
        <w:textAlignment w:val="auto"/>
        <w:rPr>
          <w:rFonts w:hint="default" w:ascii="宋体" w:hAnsi="宋体" w:eastAsia="方正小标宋简体" w:cs="Times New Roman"/>
          <w:color w:val="auto"/>
          <w:kern w:val="0"/>
          <w:sz w:val="44"/>
          <w:szCs w:val="44"/>
          <w:highlight w:val="none"/>
          <w:lang w:val="zh-CN" w:eastAsia="zh-CN" w:bidi="ar-SA"/>
        </w:rPr>
      </w:pPr>
      <w:bookmarkStart w:id="0" w:name="OLE_LINK2"/>
      <w:r>
        <w:rPr>
          <w:rFonts w:hint="default" w:ascii="宋体" w:hAnsi="宋体" w:eastAsia="方正小标宋简体" w:cs="Times New Roman"/>
          <w:color w:val="auto"/>
          <w:kern w:val="0"/>
          <w:sz w:val="44"/>
          <w:szCs w:val="44"/>
          <w:highlight w:val="none"/>
          <w:lang w:val="zh-CN" w:eastAsia="zh-CN" w:bidi="ar-SA"/>
        </w:rPr>
        <w:t>参建单位资质、业绩要求</w:t>
      </w:r>
    </w:p>
    <w:bookmarkEnd w:id="0"/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152"/>
        <w:gridCol w:w="2127"/>
        <w:gridCol w:w="1222"/>
        <w:gridCol w:w="1583"/>
        <w:gridCol w:w="5046"/>
      </w:tblGrid>
      <w:tr w14:paraId="45E2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一、桥 梁 工 程</w:t>
            </w:r>
          </w:p>
        </w:tc>
      </w:tr>
      <w:tr w14:paraId="7948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1" w:name="OLE_LINK42"/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结构形式或范围</w:t>
            </w:r>
            <w:bookmarkEnd w:id="1"/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单孔跨径L</w:t>
            </w:r>
          </w:p>
        </w:tc>
        <w:tc>
          <w:tcPr>
            <w:tcW w:w="19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资质最低要求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业绩最低要求</w:t>
            </w:r>
          </w:p>
        </w:tc>
      </w:tr>
      <w:tr w14:paraId="6290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C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勘察设计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监理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</w:t>
            </w:r>
          </w:p>
        </w:tc>
        <w:tc>
          <w:tcPr>
            <w:tcW w:w="19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3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DAE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拱桥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L＞150m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同时具备</w:t>
            </w:r>
            <w:bookmarkStart w:id="2" w:name="OLE_LINK3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bookmarkEnd w:id="2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1、工程勘察综合甲级资质；</w:t>
            </w:r>
          </w:p>
          <w:p w14:paraId="13DD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</w:t>
            </w:r>
            <w:bookmarkStart w:id="3" w:name="OLE_LINK38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工程设计综合甲级资质或公路行业甲级资质或公路行业专业设计（同时具备公路、特大桥梁）甲级资质。</w:t>
            </w:r>
            <w:bookmarkEnd w:id="3"/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公路工程甲级监理资质</w:t>
            </w:r>
          </w:p>
        </w:tc>
        <w:tc>
          <w:tcPr>
            <w:tcW w:w="6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4" w:name="OLE_LINK60"/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</w:t>
            </w:r>
            <w:bookmarkStart w:id="5" w:name="OLE_LINK104"/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公路工程总承包一级</w:t>
            </w:r>
            <w:bookmarkEnd w:id="5"/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及以上资质或</w:t>
            </w:r>
            <w:bookmarkStart w:id="6" w:name="OLE_LINK79"/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桥梁工程专业承包</w:t>
            </w:r>
            <w:bookmarkEnd w:id="6"/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一级资质</w:t>
            </w:r>
            <w:bookmarkEnd w:id="4"/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7" w:name="OLE_LINK57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完成过</w:t>
            </w:r>
            <w:bookmarkStart w:id="8" w:name="OLE_LINK55"/>
            <w:bookmarkStart w:id="9" w:name="OLE_LINK53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单孔跨径</w:t>
            </w:r>
            <w:bookmarkEnd w:id="8"/>
            <w:bookmarkStart w:id="10" w:name="OLE_LINK111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不小于</w:t>
            </w:r>
            <w:bookmarkEnd w:id="10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150m</w:t>
            </w:r>
            <w:bookmarkEnd w:id="9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bookmarkStart w:id="11" w:name="OLE_LINK62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拱桥</w:t>
            </w:r>
            <w:bookmarkEnd w:id="11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项目业绩。</w:t>
            </w:r>
            <w:bookmarkEnd w:id="7"/>
          </w:p>
        </w:tc>
      </w:tr>
      <w:tr w14:paraId="65C4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12" w:name="OLE_LINK56"/>
            <w:bookmarkStart w:id="13" w:name="OLE_LINK14" w:colFirst="0" w:colLast="0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梁式桥</w:t>
            </w:r>
            <w:bookmarkEnd w:id="12"/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L＞150m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1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8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A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7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完成过</w:t>
            </w:r>
            <w:bookmarkStart w:id="14" w:name="OLE_LINK8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单孔跨径不小于</w:t>
            </w:r>
            <w:bookmarkEnd w:id="14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100m的桥梁项目业绩。</w:t>
            </w:r>
          </w:p>
        </w:tc>
      </w:tr>
      <w:tr w14:paraId="2294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15" w:name="OLE_LINK58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斜拉桥</w:t>
            </w:r>
            <w:bookmarkEnd w:id="15"/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L＞500m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1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0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F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4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16" w:name="OLE_LINK12"/>
            <w:bookmarkStart w:id="17" w:name="OLE_LINK9"/>
            <w:bookmarkStart w:id="18" w:name="OLE_LINK10"/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完成过以下任意一类项目业绩</w:t>
            </w:r>
            <w:bookmarkEnd w:id="16"/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</w:p>
          <w:bookmarkEnd w:id="17"/>
          <w:p w14:paraId="3872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19" w:name="OLE_LINK13"/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1、单孔跨径不小于300m的独塔斜拉桥或独塔悬索桥；</w:t>
            </w:r>
          </w:p>
          <w:p w14:paraId="454E6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2、单孔跨径不小于500m的多塔斜拉桥或多塔悬索桥。</w:t>
            </w:r>
            <w:bookmarkEnd w:id="18"/>
            <w:bookmarkEnd w:id="19"/>
          </w:p>
        </w:tc>
      </w:tr>
      <w:tr w14:paraId="0F8A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20" w:name="OLE_LINK59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悬索桥</w:t>
            </w:r>
            <w:bookmarkEnd w:id="20"/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L＞800m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C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5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7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9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bookmarkEnd w:id="13"/>
    </w:tbl>
    <w:p w14:paraId="6EA7292E">
      <w:pPr>
        <w:rPr>
          <w:rFonts w:hint="eastAsia" w:ascii="宋体" w:hAnsi="宋体"/>
          <w:color w:val="000000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261"/>
        <w:gridCol w:w="2535"/>
        <w:gridCol w:w="1535"/>
        <w:gridCol w:w="1724"/>
        <w:gridCol w:w="3801"/>
      </w:tblGrid>
      <w:tr w14:paraId="2ECF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二、隧 道 工 程</w:t>
            </w:r>
          </w:p>
        </w:tc>
      </w:tr>
      <w:tr w14:paraId="79B8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结构形式或范围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21" w:name="OLE_LINK78"/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隧道长度</w:t>
            </w:r>
            <w:bookmarkEnd w:id="21"/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22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资质最低要求</w:t>
            </w:r>
          </w:p>
        </w:tc>
        <w:tc>
          <w:tcPr>
            <w:tcW w:w="1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业绩最低要求</w:t>
            </w:r>
          </w:p>
        </w:tc>
      </w:tr>
      <w:tr w14:paraId="356F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1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6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勘察设计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D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监理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施工</w:t>
            </w:r>
          </w:p>
        </w:tc>
        <w:tc>
          <w:tcPr>
            <w:tcW w:w="1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5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CBB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特长隧道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＞3000m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同时具备：</w:t>
            </w: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1、工程勘察综合甲级资质；</w:t>
            </w:r>
          </w:p>
          <w:p w14:paraId="0F7D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2、工程设计综合甲级资质或公路行业甲级资质或公路行业专业设计（同时具备公路、特长隧道）甲级资质。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公路工程甲级监理资质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B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22" w:name="OLE_LINK61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公路工程总承包特级资质或</w:t>
            </w:r>
            <w:bookmarkStart w:id="23" w:name="OLE_LINK106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隧道工程专业承包</w:t>
            </w:r>
            <w:bookmarkEnd w:id="23"/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一级资质</w:t>
            </w:r>
            <w:bookmarkEnd w:id="22"/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完成过长度不小于3000m的特长隧道项目业绩。</w:t>
            </w:r>
          </w:p>
        </w:tc>
      </w:tr>
    </w:tbl>
    <w:p w14:paraId="6E4728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</w:rPr>
        <w:t>注:</w:t>
      </w:r>
      <w:bookmarkStart w:id="24" w:name="OLE_LINK49"/>
      <w:bookmarkStart w:id="25" w:name="OLE_LINK23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1、业绩</w:t>
      </w: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eastAsia="zh-CN"/>
        </w:rPr>
        <w:t>不得限定“特定</w:t>
      </w: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行政区域</w:t>
      </w: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eastAsia="zh-CN"/>
        </w:rPr>
        <w:t>”或“</w:t>
      </w:r>
      <w:bookmarkStart w:id="26" w:name="OLE_LINK16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eastAsia="zh-CN"/>
        </w:rPr>
        <w:t>特定</w:t>
      </w:r>
      <w:bookmarkEnd w:id="26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eastAsia="zh-CN"/>
        </w:rPr>
        <w:t>行业”</w:t>
      </w:r>
      <w:bookmarkEnd w:id="24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桥梁工程、隧道工程属于公路项目业绩的，应以在交通运输部“全国公路建设市场监督管理系统”审核通过的为准。</w:t>
      </w:r>
    </w:p>
    <w:bookmarkEnd w:id="25"/>
    <w:p w14:paraId="603B97A6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</w:rPr>
      </w:pPr>
      <w:bookmarkStart w:id="27" w:name="OLE_LINK107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2、</w:t>
      </w:r>
      <w:bookmarkStart w:id="28" w:name="OLE_LINK112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土建施工招标的，</w:t>
      </w:r>
      <w:bookmarkEnd w:id="28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同一座桥梁划分2个及以上标段的，承建的斜拉桥项目业绩至少需包含斜拉桥主桥的1个主塔墩及主梁，承建的悬索桥项目业绩至少包含悬索桥主桥的1个主塔墩、1个锚碇及主梁，视为满足上表业绩最低要求。</w:t>
      </w:r>
    </w:p>
    <w:bookmarkEnd w:id="27"/>
    <w:p w14:paraId="1FCDC75C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3、</w:t>
      </w:r>
      <w:bookmarkStart w:id="29" w:name="OLE_LINK32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招标人将同一座特长隧道（以隧道的批复长度为准）划分2个及以上标段招标时，均按上表最低要求执行。</w:t>
      </w:r>
      <w:bookmarkEnd w:id="29"/>
    </w:p>
    <w:p w14:paraId="07B5E477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default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4、</w:t>
      </w:r>
      <w:bookmarkStart w:id="30" w:name="OLE_LINK86"/>
      <w:bookmarkStart w:id="31" w:name="OLE_LINK93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val="en-US" w:eastAsia="zh-CN"/>
        </w:rPr>
        <w:t>投标人提供的隧道业绩中，同一座隧道若划分成2个及以上标段，当投标人承建的标段内隧道单洞连续长度不小于3000米时，视为满足上表规定的业绩最低要求。</w:t>
      </w:r>
      <w:bookmarkEnd w:id="30"/>
      <w:bookmarkEnd w:id="31"/>
      <w:bookmarkStart w:id="32" w:name="OLE_LINK17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</w:rPr>
        <w:t>隧道业绩按如下方式认定：连拱隧道按实际完成长度计算长度；完成整座分离式隧道的，按其该隧道左洞或</w:t>
      </w:r>
      <w:bookmarkEnd w:id="32"/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</w:rPr>
        <w:t>右洞中较长的计算长度；完成分离式隧道的部分工程量的（如左右洞各约完成一半），按其完成左洞长度或其完成右洞长度中较长的计算长度</w:t>
      </w: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仿宋_GB2312" w:cs="仿宋_GB2312"/>
          <w:color w:val="auto"/>
          <w:sz w:val="24"/>
          <w:szCs w:val="24"/>
          <w:highlight w:val="none"/>
        </w:rPr>
        <w:t>在按上述计算标准满足长度要求的情况下，完成整座隧道（连拱隧道或分离式隧道），按1座计算；完成分离式隧道左右洞各一部分长度的，按1座计算。</w:t>
      </w:r>
      <w:bookmarkStart w:id="33" w:name="_GoBack"/>
      <w:bookmarkEnd w:id="33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96429"/>
    <w:rsid w:val="0CAA04D6"/>
    <w:rsid w:val="33DC6B32"/>
    <w:rsid w:val="4609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宋体"/>
    </w:rPr>
  </w:style>
  <w:style w:type="paragraph" w:styleId="3">
    <w:name w:val="Body Text Indent"/>
    <w:basedOn w:val="1"/>
    <w:next w:val="2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仿宋_GB2312" w:hAnsi="Times New Roman" w:eastAsia="仿宋_GB2312" w:cs="Times New Roman"/>
      <w:kern w:val="2"/>
      <w:sz w:val="18"/>
      <w:lang w:val="en-US" w:eastAsia="zh-CN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6">
    <w:name w:val="Body Text First Indent 2"/>
    <w:basedOn w:val="3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2025-07-23T03:15:00Z</dcterms:created>
  <dc:creator> 明天的明天</dc:creator>
  <cp:lastModifiedBy> 明天的明天</cp:lastModifiedBy>
  <dcterms:modified xsi:type="dcterms:W3CDTF">2025-07-23T03:16:12Z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396B73FFE14E419A8E199AFDF27A12FC_11</vt:lpwstr>
  </property>
  <property fmtid="{D5CDD505-2E9C-101B-9397-08002B2CF9AE}" pid="4" name="KSOTemplateDocerSaveRecord">
    <vt:lpwstr>eyJoZGlkIjoiM2FiZDIzMjBhYjY3YjcwYmIxYWI1NjM4YzVmYjEyMDMiLCJ1c2VySWQiOiIzNDcyMjgxMzMifQ==</vt:lpwstr>
  </property>
</Properties>
</file>